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81.0" w:type="dxa"/>
        <w:jc w:val="left"/>
        <w:tblInd w:w="-108.0" w:type="dxa"/>
        <w:tblLayout w:type="fixed"/>
        <w:tblLook w:val="0000"/>
      </w:tblPr>
      <w:tblGrid>
        <w:gridCol w:w="5920"/>
        <w:gridCol w:w="1559"/>
        <w:gridCol w:w="3402"/>
        <w:tblGridChange w:id="0">
          <w:tblGrid>
            <w:gridCol w:w="5920"/>
            <w:gridCol w:w="1559"/>
            <w:gridCol w:w="340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Progression en maths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52"/>
                <w:szCs w:val="52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52"/>
                <w:szCs w:val="52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1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1"/>
        <w:gridCol w:w="10271"/>
        <w:tblGridChange w:id="0">
          <w:tblGrid>
            <w:gridCol w:w="501"/>
            <w:gridCol w:w="1027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Nombres Relatifs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utilise la notion d’opposé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additionne et soustrait des nombres décimaux relatifs.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repère sur une droite graduée les nombres décimaux relatifs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traduit un enchaînement d’opérations à l’aide d’une expression avec des parenthèses.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effectue mentalement, à la main ou l’aide d’une calculatrice un enchaînement d’opérations en respectant les priorités opératoires.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contrôle la vraisemblance d’un résultat.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Il résout des problèmes faisant intervenir des nombres décimaux relatifs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70c0"/>
                <w:sz w:val="20"/>
                <w:szCs w:val="20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 Il effectue avec des nombres décimaux relatifs, des produits et des quotients.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Vérifier la vraisemblance d’un résultat, notamment en estimant son ordre de grandeur.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Translation (S4-S5)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S4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S5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complète une figure par symétrie axiale.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construit le symétrique d’un point, d’un segment, d’une droite par rapport à un axe donné et il est capable de verbaliser/expliciter sa méthode de construction.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construit la figure symétrique d’une figure donnée par rapport à un axe donné sur papier ou à l’aide d’un logiciel de géométrie dynamique.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connaît les propriétés de conservation de la symétrie axiale et il les utilise pour raisonner.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transforme une figure par symétrie centrale.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identifie des symétries dans des frises, des pavages, des rosaces.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mobilise les connaissances des figures, des configurations et des symétries pour déterminer des grandeurs géométriques.</w:t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mène des raisonnements en utilisant des propriétés des figures, des configurations et des symétries.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rtl w:val="0"/>
              </w:rPr>
              <w:t xml:space="preserve">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Il comprend l’effet des symétries (axiale et centrale) : conservation du parallélisme, des longueurs et des angles.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comprend l’effet d’une translation : conservation du parallélisme, des longueurs, des aires et des angles.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transforme une figure par translation.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identifie des translations dans des frises et des pavages.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mobilise les connaissances des figures, des configurations et de la translation pour déterminer des grandeurs géométriques.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mène des raisonnements en utilisant des propriétés des figures, des configurations et de la translation.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Fractions (S6-S7-S8)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S6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S7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S8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ajoute des fractions de même dénominateur.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sait utiliser des fractions pour exprimer un quotient. Il comprend que </w:t>
            </w:r>
            <m:oMath>
              <m:r>
                <w:rPr>
                  <w:rFonts w:ascii="Cambria Math" w:cs="Cambria Math" w:eastAsia="Cambria Math" w:hAnsi="Cambria Math"/>
                  <w:sz w:val="20"/>
                  <w:szCs w:val="20"/>
                </w:rPr>
                <m:t xml:space="preserve">b×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  <m:t xml:space="preserve">a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  <m:t xml:space="preserve">b</m:t>
                  </m:r>
                </m:den>
              </m:f>
              <m:r>
                <w:rPr>
                  <w:rFonts w:ascii="Cambria Math" w:cs="Cambria Math" w:eastAsia="Cambria Math" w:hAnsi="Cambria Math"/>
                  <w:sz w:val="20"/>
                  <w:szCs w:val="20"/>
                </w:rPr>
                <m:t xml:space="preserve">=a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reconnaît et produit des fractions égales.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traduit un enchaînement d’opérations à l’aide d’une expression avec des parenthèses.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effectue mentalement, à la main ou l’aide d’une calculatrice un enchaînement d’opérations en respectant les priorités opératoires.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additionne ou soustrait des fractions dont les dénominateurs sont égaux ou multiples l’un de l’autre.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effectue avec des nombres décimaux relatifs, des produits et des quotients.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calcule avec les nombres rationnels : addition, soustraction, multiplication, division.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résout des problèmes avec des nombres rationnels.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 Proportionnalité, durée, échelle et grandeur composées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S9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S10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S11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sait appliquer un pourcentage. Il relie fractions, proportions et pourcentages.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réalise des conversions nécessitant deux étapes de traitement. (Transformer des heures en semaines, jours et heures ; transformer des secondes en heures, minutes, secondes).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utilise, dans le cas des nombres décimaux, les écritures décimales et fractionnaires et passe de l’une à l’autre, en particulier dans le cadre de la résolution de problèmes.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traduit la relation de dépendance entre deux grandeurs par un tableau de valeur.</w:t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produit une formule représentant la dépendance de deux grandeurs.</w:t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effectue des calculs de durées et d’horaires.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l’échelle d’une carte.</w:t>
            </w:r>
          </w:p>
          <w:p w:rsidR="00000000" w:rsidDel="00000000" w:rsidP="00000000" w:rsidRDefault="00000000" w:rsidRPr="00000000" w14:paraId="00000042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reconnaît sur un graphique une situation de proportionnalité ou de non-proportionnalité.</w:t>
            </w:r>
          </w:p>
          <w:p w:rsidR="00000000" w:rsidDel="00000000" w:rsidP="00000000" w:rsidRDefault="00000000" w:rsidRPr="00000000" w14:paraId="00000043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calcule une quatrième proportionnelle par la procédure de son choix.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une formule liant deux grandeurs dans une situation de proportionnalité.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résout des problèmes en utilisant la proportionnalité dans le cadre de la géométrie.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produit une formule littérale représentant la dépendance de deux grandeurs.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représente la dépendance de deux grandeurs par un graphique.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un graphique représentant la dépendance de deux grandeurs pour lire et interpréter différentes valeurs sur l’axe des abscisses ou l’axe des ordonnées.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 Calcul littéral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S12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S13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S14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la distributivité simple pour réduire une expression littérale de la forme a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+b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où a et b sont des nombres décimaux.</w:t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produit une expression littérale pour élaborer une formule ou traduire un programme de calcul.</w:t>
            </w:r>
          </w:p>
          <w:p w:rsidR="00000000" w:rsidDel="00000000" w:rsidP="00000000" w:rsidRDefault="00000000" w:rsidRPr="00000000" w14:paraId="0000005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utilise une lettre pour traduire des propriétés générales et pour démontrer une propriété générale.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substitue une valeur numérique à une lettre pour : calculer la valeur d’une expression littérale, tester, à la main ou de façon instrumentée, si une égalité où figurent une ou deux indéterminées est vraie quand on leur attribue des valeurs numériques, contrôler son résultat.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la propriété de distributivité simple pour développer un produit, factoriser une somme ou réduire une expression littérale.</w:t>
            </w:r>
          </w:p>
          <w:p w:rsidR="00000000" w:rsidDel="00000000" w:rsidP="00000000" w:rsidRDefault="00000000" w:rsidRPr="00000000" w14:paraId="00000053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démontre l’équivalence de deux programmes de calcul.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introduit une lettre pour désigner une valeur inconnue et met un problème en équation, teste si un nombre est solution d’une équation, résout algébriquement une équation du premier degré.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6. Théorème de Pythagore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S15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S16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connaît, reconnaît et sait coder la définition de la médiatrice d’un segment, ainsi que sa caractérisation.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sait se servir de la définition de la médiatrice d’un segment ou de sa caractérisation pour la tracer à l’aide des instruments adéquats.</w:t>
            </w:r>
          </w:p>
          <w:p w:rsidR="00000000" w:rsidDel="00000000" w:rsidP="00000000" w:rsidRDefault="00000000" w:rsidRPr="00000000" w14:paraId="0000005B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les carrés parfaits de 1 à 144.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connaît la définition de la racine carrée d’un nombre positif.</w:t>
            </w:r>
          </w:p>
          <w:p w:rsidR="00000000" w:rsidDel="00000000" w:rsidP="00000000" w:rsidRDefault="00000000" w:rsidRPr="00000000" w14:paraId="0000005D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la racine carrée d’un nombre positif en lien avec des situations géométriques.</w:t>
            </w:r>
          </w:p>
          <w:p w:rsidR="00000000" w:rsidDel="00000000" w:rsidP="00000000" w:rsidRDefault="00000000" w:rsidRPr="00000000" w14:paraId="0000005E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la calculatrice pour déterminer une valeur approchée de la racine carrée d’un nombre positif.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Théorème de Pythagore.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Fractions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S17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S18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ajoute des fractions de même dénominateur.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sait utiliser des fractions pour exprimer un quotient. Il comprend que </w:t>
            </w:r>
            <m:oMath>
              <m:r>
                <w:rPr>
                  <w:rFonts w:ascii="Cambria Math" w:cs="Cambria Math" w:eastAsia="Cambria Math" w:hAnsi="Cambria Math"/>
                  <w:sz w:val="20"/>
                  <w:szCs w:val="20"/>
                </w:rPr>
                <m:t xml:space="preserve">b×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  <m:t xml:space="preserve">a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0"/>
                      <w:szCs w:val="20"/>
                    </w:rPr>
                    <m:t xml:space="preserve">b</m:t>
                  </m:r>
                </m:den>
              </m:f>
              <m:r>
                <w:rPr>
                  <w:rFonts w:ascii="Cambria Math" w:cs="Cambria Math" w:eastAsia="Cambria Math" w:hAnsi="Cambria Math"/>
                  <w:sz w:val="20"/>
                  <w:szCs w:val="20"/>
                </w:rPr>
                <m:t xml:space="preserve">=a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reconnaît et produit des fractions égales.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traduit un enchaînement d’opérations à l’aide d’une expression avec des parenthèses.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effectue mentalement, à la main ou l’aide d’une calculatrice un enchaînement d’opérations en respectant les priorités opératoires.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additionne ou soustrait des fractions dont les dénominateurs sont égaux ou multiples l’un de l’autre.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effectue avec des nombres décimaux relatifs, des produits et des quotients.</w:t>
            </w:r>
          </w:p>
          <w:p w:rsidR="00000000" w:rsidDel="00000000" w:rsidP="00000000" w:rsidRDefault="00000000" w:rsidRPr="00000000" w14:paraId="0000006B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calcule avec les nombres rationnels : addition, soustraction, multiplication, division.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résout des problèmes avec des nombres rationnels.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Théorème de Thalès, triangles semblables, agrandissement et réduction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S19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S20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S21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70c0"/>
                <w:sz w:val="20"/>
                <w:szCs w:val="20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 Egalité des triangles, triangles semblables.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70c0"/>
                <w:sz w:val="20"/>
                <w:szCs w:val="20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 Théorème de Thalès dans la configuration des triangles emboîtés.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construit un agrandissement ou une réduction d’une figure donnée.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Puissances de 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S22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S23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both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Puissances de base quelconque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(pas faites en 4</w:t>
            </w:r>
            <w:r w:rsidDel="00000000" w:rsidR="00000000" w:rsidRPr="00000000">
              <w:rPr>
                <w:i w:val="1"/>
                <w:sz w:val="16"/>
                <w:szCs w:val="16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les puissances de 10 d’exposants positifs ou négatifs.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associe, dans le cas des nombres décimaux, écriture décimale, écriture fractionnaire et notation scientifique.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les préfixes de nano à giga.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les ordres de grandeur pour vérifier ses résultats.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les puissances d’exposants strictement positifs d’un nombre pour simplifier l’écriture des produits.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des puissances de 10 pour comparer des nombres.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 Statistiques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S24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recueille et organise des données.</w:t>
            </w:r>
          </w:p>
          <w:p w:rsidR="00000000" w:rsidDel="00000000" w:rsidP="00000000" w:rsidRDefault="00000000" w:rsidRPr="00000000" w14:paraId="0000008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lit et interprète des données brutes ou présentées sous forme de tableaux, de diagrammes et de graphiques.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représente, sur papier ou à l’aide d’un tableur-grapheur, des données sous la forme d’un tableau, d’un diagramme ou d’un graphique.</w:t>
            </w:r>
          </w:p>
          <w:p w:rsidR="00000000" w:rsidDel="00000000" w:rsidP="00000000" w:rsidRDefault="00000000" w:rsidRPr="00000000" w14:paraId="0000008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des effectifs et des fréquences.</w:t>
            </w:r>
          </w:p>
          <w:p w:rsidR="00000000" w:rsidDel="00000000" w:rsidP="00000000" w:rsidRDefault="00000000" w:rsidRPr="00000000" w14:paraId="0000008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et interprète la moyenne d’une série de données.</w:t>
            </w:r>
          </w:p>
          <w:p w:rsidR="00000000" w:rsidDel="00000000" w:rsidP="00000000" w:rsidRDefault="00000000" w:rsidRPr="00000000" w14:paraId="0000008A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lit, interprète et représente des données sous forme de diagrammes circulaires.</w:t>
            </w:r>
          </w:p>
          <w:p w:rsidR="00000000" w:rsidDel="00000000" w:rsidP="00000000" w:rsidRDefault="00000000" w:rsidRPr="00000000" w14:paraId="0000008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calcule et interprète la médiane d’une série de données de petit effectif total.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 Réciproque du théorème de Pythagore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S26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Réciproque du théorème de Pythagore.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71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1"/>
        <w:gridCol w:w="10271"/>
        <w:tblGridChange w:id="0">
          <w:tblGrid>
            <w:gridCol w:w="501"/>
            <w:gridCol w:w="10271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 Solides et volumes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S27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S28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connaît la formule de la longueur d’un cercle et l’utilise.</w:t>
            </w:r>
          </w:p>
          <w:p w:rsidR="00000000" w:rsidDel="00000000" w:rsidP="00000000" w:rsidRDefault="00000000" w:rsidRPr="00000000" w14:paraId="0000009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calcule le volume d’un cube ou d’un pavé droit en utilisant une formule.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utilise les unités de volume : cm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dm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 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 leurs relations.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❻ Il relie les unités de volume et de contenance (1 L = 1 dm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1000 L = 1 m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périmètre et l’aire des figures usuelles (rectangle, parallélogramme, triangle, disque).</w:t>
            </w:r>
          </w:p>
          <w:p w:rsidR="00000000" w:rsidDel="00000000" w:rsidP="00000000" w:rsidRDefault="00000000" w:rsidRPr="00000000" w14:paraId="0000009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périmètre et l’aire d’un assemblage de figures.</w:t>
            </w:r>
          </w:p>
          <w:p w:rsidR="00000000" w:rsidDel="00000000" w:rsidP="00000000" w:rsidRDefault="00000000" w:rsidRPr="00000000" w14:paraId="0000009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volume d’un pavé droit, d’un prisme droit, d’un cylindre.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le volume d’un assemblage de ces solides.</w:t>
            </w:r>
          </w:p>
          <w:p w:rsidR="00000000" w:rsidDel="00000000" w:rsidP="00000000" w:rsidRDefault="00000000" w:rsidRPr="00000000" w14:paraId="000000A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exprime les résultats dans l’unité adaptée.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vérifie la cohérence des résultats du point de vue des unités pour les calculs de durées, de longueurs, d’aires ou de volumes.</w:t>
            </w:r>
          </w:p>
          <w:p w:rsidR="00000000" w:rsidDel="00000000" w:rsidP="00000000" w:rsidRDefault="00000000" w:rsidRPr="00000000" w14:paraId="000000A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effectue des conversions d’unités de longueurs, d’aires, de volumes et de durées.</w:t>
            </w:r>
          </w:p>
          <w:p w:rsidR="00000000" w:rsidDel="00000000" w:rsidP="00000000" w:rsidRDefault="00000000" w:rsidRPr="00000000" w14:paraId="000000A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reconnaît des solides (pavé droit, cube, cylindre, prisme droit, pyramide, cône, boule) à partir d’un objet réel, d’une image, d’une représentation en perspective cavalière.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construit et met en relation une représentation en perspective cavalière et un patron d’un pavé droit, d’un cylindre.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calcule le volume d’une pyramide, d’un cône.</w:t>
            </w:r>
          </w:p>
          <w:p w:rsidR="00000000" w:rsidDel="00000000" w:rsidP="00000000" w:rsidRDefault="00000000" w:rsidRPr="00000000" w14:paraId="000000A7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effectue des conversions d’unités sur des grandeurs composées.</w:t>
            </w:r>
          </w:p>
          <w:p w:rsidR="00000000" w:rsidDel="00000000" w:rsidP="00000000" w:rsidRDefault="00000000" w:rsidRPr="00000000" w14:paraId="000000A8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un rapport d’agrandissement ou de réduction pour calculer, des longueurs, des aires, des volumes.</w:t>
            </w:r>
          </w:p>
          <w:p w:rsidR="00000000" w:rsidDel="00000000" w:rsidP="00000000" w:rsidRDefault="00000000" w:rsidRPr="00000000" w14:paraId="000000A9">
            <w:pPr>
              <w:jc w:val="both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repère sur une droite graduée les nombres décimaux relatifs</w:t>
            </w:r>
          </w:p>
          <w:p w:rsidR="00000000" w:rsidDel="00000000" w:rsidP="00000000" w:rsidRDefault="00000000" w:rsidRPr="00000000" w14:paraId="000000A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se repère dans le plan muni d’un repère orthogonal.</w:t>
            </w:r>
          </w:p>
          <w:p w:rsidR="00000000" w:rsidDel="00000000" w:rsidP="00000000" w:rsidRDefault="00000000" w:rsidRPr="00000000" w14:paraId="000000AC">
            <w:pPr>
              <w:jc w:val="both"/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se repère dans un pavé droit.</w:t>
            </w:r>
          </w:p>
          <w:p w:rsidR="00000000" w:rsidDel="00000000" w:rsidP="00000000" w:rsidRDefault="00000000" w:rsidRPr="00000000" w14:paraId="000000A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le vocabulaire du repérage : abscisse, ordonnée, altitude.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 Réciproque du théorème de Thalès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70c0"/>
                <w:sz w:val="20"/>
                <w:szCs w:val="20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 Réciproque du théorème de Thalès dans la configuration des triangles emboîtés.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2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14. Fonctions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70c0"/>
                <w:sz w:val="20"/>
                <w:szCs w:val="20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 Il produit une formule littérale représentant la dépendance de deux grandeurs.</w:t>
            </w:r>
          </w:p>
          <w:p w:rsidR="00000000" w:rsidDel="00000000" w:rsidP="00000000" w:rsidRDefault="00000000" w:rsidRPr="00000000" w14:paraId="000000B6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70c0"/>
                <w:sz w:val="20"/>
                <w:szCs w:val="20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 Il représente la dépendance de deux grandeurs par un graphique.</w:t>
            </w:r>
          </w:p>
          <w:p w:rsidR="00000000" w:rsidDel="00000000" w:rsidP="00000000" w:rsidRDefault="00000000" w:rsidRPr="00000000" w14:paraId="000000B7">
            <w:pPr>
              <w:jc w:val="both"/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Wingdings" w:cs="Wingdings" w:eastAsia="Wingdings" w:hAnsi="Wingdings"/>
                <w:color w:val="0070c0"/>
                <w:sz w:val="20"/>
                <w:szCs w:val="20"/>
                <w:rtl w:val="0"/>
              </w:rPr>
              <w:t xml:space="preserve">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sz w:val="20"/>
                <w:szCs w:val="20"/>
                <w:rtl w:val="0"/>
              </w:rPr>
              <w:t xml:space="preserve"> Il utilise un graphique représentant la dépendance de deux grandeurs pour lire et interpréter différentes valeurs sur l’axe des abscisses ou l’axe des ordonnées.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 Cosinus d’un angle aigu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S32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Cosinus d’un angle d’un triangle rectangle.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 Probabilités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S35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des effectifs et des fréquences.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place un événement sur une échelle de probabilités.</w:t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❺ Il calcule des probabilités dans des situations simples d’équiprobabilité.</w:t>
            </w:r>
          </w:p>
          <w:p w:rsidR="00000000" w:rsidDel="00000000" w:rsidP="00000000" w:rsidRDefault="00000000" w:rsidRPr="00000000" w14:paraId="000000C3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utilise le vocabulaire des probabilités : expérience aléatoire, issues, événement, probabilité, événement certain, événement impossible, événement contraire.</w:t>
            </w:r>
          </w:p>
          <w:p w:rsidR="00000000" w:rsidDel="00000000" w:rsidP="00000000" w:rsidRDefault="00000000" w:rsidRPr="00000000" w14:paraId="000000C4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reconnaît des événements contraires et s’en sert pour calculer des probabilités.</w:t>
            </w:r>
          </w:p>
          <w:p w:rsidR="00000000" w:rsidDel="00000000" w:rsidP="00000000" w:rsidRDefault="00000000" w:rsidRPr="00000000" w14:paraId="000000C5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calcule des probabilités.</w:t>
            </w:r>
          </w:p>
          <w:p w:rsidR="00000000" w:rsidDel="00000000" w:rsidP="00000000" w:rsidRDefault="00000000" w:rsidRPr="00000000" w14:paraId="000000C6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sait que la probabilité d’un événement est un nombre compris entre 0 et 1.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70c0"/>
                <w:sz w:val="20"/>
                <w:szCs w:val="20"/>
                <w:rtl w:val="0"/>
              </w:rPr>
              <w:t xml:space="preserve">❹ Il exprime des probabilités sous diverses formes.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Cette progression n'est qu'indicative.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Elle est un guide et un soutien pour l'enseignant qui peut l'adapter en fonction de sa classe.</w:t>
      </w:r>
    </w:p>
    <w:p w:rsidR="00000000" w:rsidDel="00000000" w:rsidP="00000000" w:rsidRDefault="00000000" w:rsidRPr="00000000" w14:paraId="000000C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65" w:top="567" w:left="567" w:right="567" w:header="72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Wingdings"/>
  <w:font w:name="Liberation Serif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4"/>
      <w:tblW w:w="10740.0" w:type="dxa"/>
      <w:jc w:val="left"/>
      <w:tblInd w:w="-108.0" w:type="dxa"/>
      <w:tblLayout w:type="fixed"/>
      <w:tblLook w:val="0000"/>
    </w:tblPr>
    <w:tblGrid>
      <w:gridCol w:w="4484"/>
      <w:gridCol w:w="3137"/>
      <w:gridCol w:w="3119"/>
      <w:tblGridChange w:id="0">
        <w:tblGrid>
          <w:gridCol w:w="4484"/>
          <w:gridCol w:w="3137"/>
          <w:gridCol w:w="3119"/>
        </w:tblGrid>
      </w:tblGridChange>
    </w:tblGrid>
    <w:tr>
      <w:trPr>
        <w:cantSplit w:val="0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D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</w:tcPr>
        <w:p w:rsidR="00000000" w:rsidDel="00000000" w:rsidP="00000000" w:rsidRDefault="00000000" w:rsidRPr="00000000" w14:paraId="000000D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  <w:pPr>
      <w:widowControl w:val="1"/>
    </w:pPr>
    <w:rPr>
      <w:rFonts w:ascii="Times New Roman" w:cs="Times New Roman" w:eastAsia="Times New Roman" w:hAnsi="Times New Roman"/>
      <w:lang w:bidi="ar-SA"/>
    </w:r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Index" w:customStyle="1">
    <w:name w:val="Index"/>
    <w:basedOn w:val="Standard"/>
    <w:pPr>
      <w:suppressLineNumbers w:val="1"/>
    </w:pPr>
    <w:rPr>
      <w:rFonts w:cs="Lucida Sans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WW8Num1z0" w:customStyle="1">
    <w:name w:val="WW8Num1z0"/>
    <w:rPr>
      <w:rFonts w:ascii="Symbol" w:cs="Symbol" w:eastAsia="Symbol" w:hAnsi="Symbol"/>
    </w:rPr>
  </w:style>
  <w:style w:type="character" w:styleId="WW8Num1z1" w:customStyle="1">
    <w:name w:val="WW8Num1z1"/>
    <w:rPr>
      <w:rFonts w:ascii="Courier New" w:cs="Courier New" w:eastAsia="Courier New" w:hAnsi="Courier New"/>
    </w:rPr>
  </w:style>
  <w:style w:type="character" w:styleId="WW8Num1z2" w:customStyle="1">
    <w:name w:val="WW8Num1z2"/>
    <w:rPr>
      <w:rFonts w:ascii="Wingdings" w:cs="Wingdings" w:eastAsia="Wingdings" w:hAnsi="Wingdings"/>
    </w:rPr>
  </w:style>
  <w:style w:type="character" w:styleId="WW8Num2z0" w:customStyle="1">
    <w:name w:val="WW8Num2z0"/>
    <w:rPr>
      <w:rFonts w:ascii="Symbol" w:cs="Symbol" w:eastAsia="Symbol" w:hAnsi="Symbol"/>
    </w:rPr>
  </w:style>
  <w:style w:type="character" w:styleId="WW8Num2z1" w:customStyle="1">
    <w:name w:val="WW8Num2z1"/>
    <w:rPr>
      <w:rFonts w:ascii="Courier New" w:cs="Courier New" w:eastAsia="Courier New" w:hAnsi="Courier New"/>
    </w:rPr>
  </w:style>
  <w:style w:type="character" w:styleId="WW8Num2z2" w:customStyle="1">
    <w:name w:val="WW8Num2z2"/>
    <w:rPr>
      <w:rFonts w:ascii="Wingdings" w:cs="Wingdings" w:eastAsia="Wingdings" w:hAnsi="Wingdings"/>
    </w:rPr>
  </w:style>
  <w:style w:type="character" w:styleId="WW8Num3z0" w:customStyle="1">
    <w:name w:val="WW8Num3z0"/>
    <w:rPr>
      <w:rFonts w:ascii="Wingdings" w:cs="Wingdings" w:eastAsia="Wingdings" w:hAnsi="Wingdings"/>
    </w:rPr>
  </w:style>
  <w:style w:type="character" w:styleId="WW8Num3z1" w:customStyle="1">
    <w:name w:val="WW8Num3z1"/>
    <w:rPr>
      <w:rFonts w:ascii="Courier New" w:cs="Courier New" w:eastAsia="Courier New" w:hAnsi="Courier New"/>
    </w:rPr>
  </w:style>
  <w:style w:type="character" w:styleId="WW8Num3z3" w:customStyle="1">
    <w:name w:val="WW8Num3z3"/>
    <w:rPr>
      <w:rFonts w:ascii="Symbol" w:cs="Symbol" w:eastAsia="Symbol" w:hAnsi="Symbol"/>
    </w:rPr>
  </w:style>
  <w:style w:type="character" w:styleId="WW8Num4z0" w:customStyle="1">
    <w:name w:val="WW8Num4z0"/>
    <w:rPr>
      <w:rFonts w:ascii="Wingdings" w:cs="Wingdings" w:eastAsia="Wingdings" w:hAnsi="Wingdings"/>
    </w:rPr>
  </w:style>
  <w:style w:type="character" w:styleId="WW8Num4z1" w:customStyle="1">
    <w:name w:val="WW8Num4z1"/>
    <w:rPr>
      <w:rFonts w:ascii="Courier New" w:cs="Courier New" w:eastAsia="Courier New" w:hAnsi="Courier New"/>
    </w:rPr>
  </w:style>
  <w:style w:type="character" w:styleId="WW8Num4z3" w:customStyle="1">
    <w:name w:val="WW8Num4z3"/>
    <w:rPr>
      <w:rFonts w:ascii="Symbol" w:cs="Symbol" w:eastAsia="Symbol" w:hAnsi="Symbol"/>
    </w:rPr>
  </w:style>
  <w:style w:type="character" w:styleId="WW8Num5z0" w:customStyle="1">
    <w:name w:val="WW8Num5z0"/>
    <w:rPr>
      <w:rFonts w:ascii="Wingdings" w:cs="Wingdings" w:eastAsia="Wingdings" w:hAnsi="Wingdings"/>
    </w:rPr>
  </w:style>
  <w:style w:type="character" w:styleId="WW8Num5z1" w:customStyle="1">
    <w:name w:val="WW8Num5z1"/>
    <w:rPr>
      <w:rFonts w:ascii="Courier New" w:cs="Courier New" w:eastAsia="Courier New" w:hAnsi="Courier New"/>
    </w:rPr>
  </w:style>
  <w:style w:type="character" w:styleId="WW8Num5z3" w:customStyle="1">
    <w:name w:val="WW8Num5z3"/>
    <w:rPr>
      <w:rFonts w:ascii="Symbol" w:cs="Symbol" w:eastAsia="Symbol" w:hAnsi="Symbol"/>
    </w:rPr>
  </w:style>
  <w:style w:type="character" w:styleId="WW8Num6z0" w:customStyle="1">
    <w:name w:val="WW8Num6z0"/>
    <w:rPr>
      <w:rFonts w:ascii="Symbol" w:cs="Symbol" w:eastAsia="Symbol" w:hAnsi="Symbol"/>
    </w:rPr>
  </w:style>
  <w:style w:type="character" w:styleId="WW8Num6z1" w:customStyle="1">
    <w:name w:val="WW8Num6z1"/>
    <w:rPr>
      <w:rFonts w:ascii="Courier New" w:cs="Courier New" w:eastAsia="Courier New" w:hAnsi="Courier New"/>
    </w:rPr>
  </w:style>
  <w:style w:type="character" w:styleId="WW8Num6z2" w:customStyle="1">
    <w:name w:val="WW8Num6z2"/>
    <w:rPr>
      <w:rFonts w:ascii="Wingdings" w:cs="Wingdings" w:eastAsia="Wingdings" w:hAnsi="Wingdings"/>
    </w:rPr>
  </w:style>
  <w:style w:type="character" w:styleId="WW8Num7z0" w:customStyle="1">
    <w:name w:val="WW8Num7z0"/>
    <w:rPr>
      <w:rFonts w:ascii="Wingdings" w:cs="Wingdings" w:eastAsia="Wingdings" w:hAnsi="Wingdings"/>
    </w:rPr>
  </w:style>
  <w:style w:type="character" w:styleId="WW8Num7z1" w:customStyle="1">
    <w:name w:val="WW8Num7z1"/>
    <w:rPr>
      <w:rFonts w:ascii="Courier New" w:cs="Courier New" w:eastAsia="Courier New" w:hAnsi="Courier New"/>
    </w:rPr>
  </w:style>
  <w:style w:type="character" w:styleId="WW8Num7z3" w:customStyle="1">
    <w:name w:val="WW8Num7z3"/>
    <w:rPr>
      <w:rFonts w:ascii="Symbol" w:cs="Symbol" w:eastAsia="Symbol" w:hAnsi="Symbol"/>
    </w:rPr>
  </w:style>
  <w:style w:type="character" w:styleId="WW8Num8z0" w:customStyle="1">
    <w:name w:val="WW8Num8z0"/>
    <w:rPr>
      <w:rFonts w:ascii="Wingdings" w:cs="Wingdings" w:eastAsia="Wingdings" w:hAnsi="Wingdings"/>
    </w:rPr>
  </w:style>
  <w:style w:type="character" w:styleId="WW8Num8z1" w:customStyle="1">
    <w:name w:val="WW8Num8z1"/>
    <w:rPr>
      <w:rFonts w:ascii="Courier New" w:cs="Courier New" w:eastAsia="Courier New" w:hAnsi="Courier New"/>
    </w:rPr>
  </w:style>
  <w:style w:type="character" w:styleId="WW8Num8z3" w:customStyle="1">
    <w:name w:val="WW8Num8z3"/>
    <w:rPr>
      <w:rFonts w:ascii="Symbol" w:cs="Symbol" w:eastAsia="Symbol" w:hAnsi="Symbol"/>
    </w:rPr>
  </w:style>
  <w:style w:type="character" w:styleId="WW8Num9z0" w:customStyle="1">
    <w:name w:val="WW8Num9z0"/>
    <w:rPr>
      <w:rFonts w:ascii="Calibri" w:cs="Calibri" w:eastAsia="Times New Roman" w:hAnsi="Calibri"/>
    </w:rPr>
  </w:style>
  <w:style w:type="character" w:styleId="WW8Num9z1" w:customStyle="1">
    <w:name w:val="WW8Num9z1"/>
    <w:rPr>
      <w:rFonts w:ascii="Courier New" w:cs="Courier New" w:eastAsia="Courier New" w:hAnsi="Courier New"/>
    </w:rPr>
  </w:style>
  <w:style w:type="character" w:styleId="WW8Num9z2" w:customStyle="1">
    <w:name w:val="WW8Num9z2"/>
    <w:rPr>
      <w:rFonts w:ascii="Wingdings" w:cs="Wingdings" w:eastAsia="Wingdings" w:hAnsi="Wingdings"/>
    </w:rPr>
  </w:style>
  <w:style w:type="character" w:styleId="WW8Num9z3" w:customStyle="1">
    <w:name w:val="WW8Num9z3"/>
    <w:rPr>
      <w:rFonts w:ascii="Symbol" w:cs="Symbol" w:eastAsia="Symbol" w:hAnsi="Symbol"/>
    </w:rPr>
  </w:style>
  <w:style w:type="character" w:styleId="WW8Num10z0" w:customStyle="1">
    <w:name w:val="WW8Num10z0"/>
    <w:rPr>
      <w:rFonts w:ascii="Symbol" w:cs="Symbol" w:eastAsia="Symbol" w:hAnsi="Symbol"/>
    </w:rPr>
  </w:style>
  <w:style w:type="character" w:styleId="WW8Num10z1" w:customStyle="1">
    <w:name w:val="WW8Num10z1"/>
    <w:rPr>
      <w:rFonts w:ascii="Courier New" w:cs="Courier New" w:eastAsia="Courier New" w:hAnsi="Courier New"/>
    </w:rPr>
  </w:style>
  <w:style w:type="character" w:styleId="WW8Num10z2" w:customStyle="1">
    <w:name w:val="WW8Num10z2"/>
    <w:rPr>
      <w:rFonts w:ascii="Wingdings" w:cs="Wingdings" w:eastAsia="Wingdings" w:hAnsi="Wingdings"/>
    </w:rPr>
  </w:style>
  <w:style w:type="character" w:styleId="WW8Num11z0" w:customStyle="1">
    <w:name w:val="WW8Num11z0"/>
    <w:rPr>
      <w:rFonts w:ascii="Wingdings" w:cs="Wingdings" w:eastAsia="Wingdings" w:hAnsi="Wingdings"/>
    </w:rPr>
  </w:style>
  <w:style w:type="character" w:styleId="WW8Num11z1" w:customStyle="1">
    <w:name w:val="WW8Num11z1"/>
    <w:rPr>
      <w:rFonts w:ascii="Courier New" w:cs="Courier New" w:eastAsia="Courier New" w:hAnsi="Courier New"/>
    </w:rPr>
  </w:style>
  <w:style w:type="character" w:styleId="WW8Num11z3" w:customStyle="1">
    <w:name w:val="WW8Num11z3"/>
    <w:rPr>
      <w:rFonts w:ascii="Symbol" w:cs="Symbol" w:eastAsia="Symbol" w:hAnsi="Symbol"/>
    </w:rPr>
  </w:style>
  <w:style w:type="character" w:styleId="WW8Num12z0" w:customStyle="1">
    <w:name w:val="WW8Num12z0"/>
    <w:rPr>
      <w:rFonts w:ascii="Wingdings" w:cs="Wingdings" w:eastAsia="Wingdings" w:hAnsi="Wingdings"/>
    </w:rPr>
  </w:style>
  <w:style w:type="character" w:styleId="WW8Num12z1" w:customStyle="1">
    <w:name w:val="WW8Num12z1"/>
    <w:rPr>
      <w:rFonts w:ascii="Courier New" w:cs="Courier New" w:eastAsia="Courier New" w:hAnsi="Courier New"/>
    </w:rPr>
  </w:style>
  <w:style w:type="character" w:styleId="WW8Num12z3" w:customStyle="1">
    <w:name w:val="WW8Num12z3"/>
    <w:rPr>
      <w:rFonts w:ascii="Symbol" w:cs="Symbol" w:eastAsia="Symbol" w:hAnsi="Symbol"/>
    </w:rPr>
  </w:style>
  <w:style w:type="character" w:styleId="WW8Num13z0" w:customStyle="1">
    <w:name w:val="WW8Num13z0"/>
    <w:rPr>
      <w:rFonts w:ascii="Wingdings" w:cs="Wingdings" w:eastAsia="Wingdings" w:hAnsi="Wingdings"/>
    </w:rPr>
  </w:style>
  <w:style w:type="character" w:styleId="WW8Num13z1" w:customStyle="1">
    <w:name w:val="WW8Num13z1"/>
    <w:rPr>
      <w:rFonts w:ascii="Courier New" w:cs="Courier New" w:eastAsia="Courier New" w:hAnsi="Courier New"/>
    </w:rPr>
  </w:style>
  <w:style w:type="character" w:styleId="WW8Num13z3" w:customStyle="1">
    <w:name w:val="WW8Num13z3"/>
    <w:rPr>
      <w:rFonts w:ascii="Symbol" w:cs="Symbol" w:eastAsia="Symbol" w:hAnsi="Symbol"/>
    </w:rPr>
  </w:style>
  <w:style w:type="character" w:styleId="WW8Num14z0" w:customStyle="1">
    <w:name w:val="WW8Num14z0"/>
    <w:rPr>
      <w:rFonts w:ascii="Wingdings" w:cs="Wingdings" w:eastAsia="Wingdings" w:hAnsi="Wingdings"/>
    </w:rPr>
  </w:style>
  <w:style w:type="character" w:styleId="WW8Num14z1" w:customStyle="1">
    <w:name w:val="WW8Num14z1"/>
    <w:rPr>
      <w:rFonts w:ascii="Courier New" w:cs="Courier New" w:eastAsia="Courier New" w:hAnsi="Courier New"/>
    </w:rPr>
  </w:style>
  <w:style w:type="character" w:styleId="WW8Num14z3" w:customStyle="1">
    <w:name w:val="WW8Num14z3"/>
    <w:rPr>
      <w:rFonts w:ascii="Symbol" w:cs="Symbol" w:eastAsia="Symbol" w:hAnsi="Symbol"/>
    </w:rPr>
  </w:style>
  <w:style w:type="character" w:styleId="Marquedecommentaire">
    <w:name w:val="annotation reference"/>
    <w:rPr>
      <w:rFonts w:cs="Times New Roman"/>
      <w:sz w:val="18"/>
    </w:rPr>
  </w:style>
  <w:style w:type="character" w:styleId="im" w:customStyle="1">
    <w:name w:val="im"/>
  </w:style>
  <w:style w:type="character" w:styleId="En-tteCar" w:customStyle="1">
    <w:name w:val="En-tête Car"/>
    <w:rPr>
      <w:sz w:val="24"/>
      <w:szCs w:val="24"/>
    </w:rPr>
  </w:style>
  <w:style w:type="character" w:styleId="PieddepageCar" w:customStyle="1">
    <w:name w:val="Pied de page Car"/>
    <w:rPr>
      <w:sz w:val="24"/>
      <w:szCs w:val="24"/>
    </w:rPr>
  </w:style>
  <w:style w:type="character" w:styleId="Numrodepage">
    <w:name w:val="page number"/>
    <w:basedOn w:val="Policepardfaut"/>
  </w:style>
  <w:style w:type="numbering" w:styleId="WW8Num1" w:customStyle="1">
    <w:name w:val="WW8Num1"/>
    <w:basedOn w:val="Aucuneliste"/>
    <w:pPr>
      <w:numPr>
        <w:numId w:val="1"/>
      </w:numPr>
    </w:pPr>
  </w:style>
  <w:style w:type="numbering" w:styleId="WW8Num2" w:customStyle="1">
    <w:name w:val="WW8Num2"/>
    <w:basedOn w:val="Aucuneliste"/>
    <w:pPr>
      <w:numPr>
        <w:numId w:val="2"/>
      </w:numPr>
    </w:pPr>
  </w:style>
  <w:style w:type="numbering" w:styleId="WW8Num3" w:customStyle="1">
    <w:name w:val="WW8Num3"/>
    <w:basedOn w:val="Aucuneliste"/>
    <w:pPr>
      <w:numPr>
        <w:numId w:val="3"/>
      </w:numPr>
    </w:pPr>
  </w:style>
  <w:style w:type="numbering" w:styleId="WW8Num4" w:customStyle="1">
    <w:name w:val="WW8Num4"/>
    <w:basedOn w:val="Aucuneliste"/>
    <w:pPr>
      <w:numPr>
        <w:numId w:val="4"/>
      </w:numPr>
    </w:pPr>
  </w:style>
  <w:style w:type="numbering" w:styleId="WW8Num5" w:customStyle="1">
    <w:name w:val="WW8Num5"/>
    <w:basedOn w:val="Aucuneliste"/>
    <w:pPr>
      <w:numPr>
        <w:numId w:val="5"/>
      </w:numPr>
    </w:pPr>
  </w:style>
  <w:style w:type="numbering" w:styleId="WW8Num6" w:customStyle="1">
    <w:name w:val="WW8Num6"/>
    <w:basedOn w:val="Aucuneliste"/>
    <w:pPr>
      <w:numPr>
        <w:numId w:val="6"/>
      </w:numPr>
    </w:pPr>
  </w:style>
  <w:style w:type="numbering" w:styleId="WW8Num7" w:customStyle="1">
    <w:name w:val="WW8Num7"/>
    <w:basedOn w:val="Aucuneliste"/>
    <w:pPr>
      <w:numPr>
        <w:numId w:val="7"/>
      </w:numPr>
    </w:pPr>
  </w:style>
  <w:style w:type="numbering" w:styleId="WW8Num8" w:customStyle="1">
    <w:name w:val="WW8Num8"/>
    <w:basedOn w:val="Aucuneliste"/>
    <w:pPr>
      <w:numPr>
        <w:numId w:val="8"/>
      </w:numPr>
    </w:pPr>
  </w:style>
  <w:style w:type="numbering" w:styleId="WW8Num9" w:customStyle="1">
    <w:name w:val="WW8Num9"/>
    <w:basedOn w:val="Aucuneliste"/>
    <w:pPr>
      <w:numPr>
        <w:numId w:val="9"/>
      </w:numPr>
    </w:pPr>
  </w:style>
  <w:style w:type="numbering" w:styleId="WW8Num10" w:customStyle="1">
    <w:name w:val="WW8Num10"/>
    <w:basedOn w:val="Aucuneliste"/>
    <w:pPr>
      <w:numPr>
        <w:numId w:val="10"/>
      </w:numPr>
    </w:pPr>
  </w:style>
  <w:style w:type="numbering" w:styleId="WW8Num11" w:customStyle="1">
    <w:name w:val="WW8Num11"/>
    <w:basedOn w:val="Aucuneliste"/>
    <w:pPr>
      <w:numPr>
        <w:numId w:val="11"/>
      </w:numPr>
    </w:pPr>
  </w:style>
  <w:style w:type="numbering" w:styleId="WW8Num12" w:customStyle="1">
    <w:name w:val="WW8Num12"/>
    <w:basedOn w:val="Aucuneliste"/>
    <w:pPr>
      <w:numPr>
        <w:numId w:val="12"/>
      </w:numPr>
    </w:pPr>
  </w:style>
  <w:style w:type="numbering" w:styleId="WW8Num13" w:customStyle="1">
    <w:name w:val="WW8Num13"/>
    <w:basedOn w:val="Aucuneliste"/>
    <w:pPr>
      <w:numPr>
        <w:numId w:val="13"/>
      </w:numPr>
    </w:pPr>
  </w:style>
  <w:style w:type="numbering" w:styleId="WW8Num14" w:customStyle="1">
    <w:name w:val="WW8Num14"/>
    <w:basedOn w:val="Aucuneliste"/>
    <w:pPr>
      <w:numPr>
        <w:numId w:val="14"/>
      </w:numPr>
    </w:pPr>
  </w:style>
  <w:style w:type="character" w:styleId="Textedelespacerserv">
    <w:name w:val="Placeholder Text"/>
    <w:basedOn w:val="Policepardfaut"/>
    <w:uiPriority w:val="99"/>
    <w:semiHidden w:val="1"/>
    <w:rsid w:val="00366110"/>
    <w:rPr>
      <w:color w:val="808080"/>
    </w:rPr>
  </w:style>
  <w:style w:type="character" w:styleId="Titre1Car" w:customStyle="1">
    <w:name w:val="Titre 1 Car"/>
    <w:basedOn w:val="Policepardfaut"/>
    <w:link w:val="Titre1"/>
    <w:uiPriority w:val="9"/>
    <w:rsid w:val="0015496F"/>
    <w:rPr>
      <w:rFonts w:ascii="Calibri Light" w:cs="Mangal" w:eastAsia="Times New Roman" w:hAnsi="Calibri Light"/>
      <w:b w:val="1"/>
      <w:bCs w:val="1"/>
      <w:kern w:val="32"/>
      <w:sz w:val="32"/>
      <w:szCs w:val="29"/>
      <w:lang w:eastAsia="hi-IN"/>
    </w:rPr>
  </w:style>
  <w:style w:type="table" w:styleId="Grilledutableau">
    <w:name w:val="Table Grid"/>
    <w:basedOn w:val="TableauNormal"/>
    <w:uiPriority w:val="39"/>
    <w:rsid w:val="00E63C1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PB9kNyXOHfj6qZ0vvZZbGoTeNA==">CgMxLjA4AHIhMXBLeEN0bzZ4NXpMZ0F3ZjNzaVdJMXViRUpxVFlVT0RJ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2021-07-27T06:20:00Z</dcterms:created>
  <dc:creator>Hervé Lestienne</dc:creator>
</cp:coreProperties>
</file>