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nuzsp6l3wryi" w:id="0"/>
      <w:bookmarkEnd w:id="0"/>
      <w:r w:rsidDel="00000000" w:rsidR="00000000" w:rsidRPr="00000000">
        <w:rPr>
          <w:rtl w:val="0"/>
        </w:rPr>
        <w:t xml:space="preserve">Progression maths 5 - 2025-2026</w:t>
      </w:r>
    </w:p>
    <w:tbl>
      <w:tblPr>
        <w:tblStyle w:val="Table1"/>
        <w:tblW w:w="10771.653543307086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771.653543307086"/>
        <w:tblGridChange w:id="0">
          <w:tblGrid>
            <w:gridCol w:w="10771.653543307086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1 - Opérations sur les entiers et décimaux positifs, distributivité (S1-S2)</w:t>
            </w:r>
          </w:p>
        </w:tc>
      </w:tr>
    </w:tbl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Utiliser, dans le cas des nombres décimaux et les écritures décimales et passer de l’une à l’autre, en particulier dans le cadre de la résolution de problèmes.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Traduire un enchaînement d’opérations à l’aide d’une expression avec des parenthèses.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Effectuer mentalement, à la main ou l’aide d’une calculatrice un enchaînement d’opérations en respectant les priorités opératoires.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8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Contrôler la vraisemblance d’un résultat.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 – Symétrie centrale (S3-S4-S5-S6)</w:t>
      </w:r>
    </w:p>
    <w:p w:rsidR="00000000" w:rsidDel="00000000" w:rsidP="00000000" w:rsidRDefault="00000000" w:rsidRPr="00000000" w14:paraId="00000008">
      <w:pPr>
        <w:numPr>
          <w:ilvl w:val="0"/>
          <w:numId w:val="15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Transformer une figure par symétrie centrale.</w:t>
      </w:r>
    </w:p>
    <w:p w:rsidR="00000000" w:rsidDel="00000000" w:rsidP="00000000" w:rsidRDefault="00000000" w:rsidRPr="00000000" w14:paraId="00000009">
      <w:pPr>
        <w:numPr>
          <w:ilvl w:val="0"/>
          <w:numId w:val="15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Comprendre l’effet des symétries (axiale et centrale) sur des figures : conservation du parallélisme, des longueurs et des angles.</w:t>
      </w:r>
    </w:p>
    <w:p w:rsidR="00000000" w:rsidDel="00000000" w:rsidP="00000000" w:rsidRDefault="00000000" w:rsidRPr="00000000" w14:paraId="0000000A">
      <w:pPr>
        <w:numPr>
          <w:ilvl w:val="0"/>
          <w:numId w:val="15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Identifier des symétries dans des frises, des pavages, des rosaces.</w:t>
      </w:r>
    </w:p>
    <w:p w:rsidR="00000000" w:rsidDel="00000000" w:rsidP="00000000" w:rsidRDefault="00000000" w:rsidRPr="00000000" w14:paraId="0000000B">
      <w:pPr>
        <w:numPr>
          <w:ilvl w:val="0"/>
          <w:numId w:val="15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Mobiliser les connaissances des figures, des configurations et des symétries pour déterminer des grandeurs géométriques.</w:t>
      </w:r>
    </w:p>
    <w:p w:rsidR="00000000" w:rsidDel="00000000" w:rsidP="00000000" w:rsidRDefault="00000000" w:rsidRPr="00000000" w14:paraId="0000000C">
      <w:pPr>
        <w:numPr>
          <w:ilvl w:val="0"/>
          <w:numId w:val="15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Mener des raisonnements en utilisant des propriétés des figures, des configurations et des symétries.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 – Nombres relatifs : repérage sur une droite et dans le plan, comparaison, opposé (S7-S8)</w:t>
      </w:r>
    </w:p>
    <w:p w:rsidR="00000000" w:rsidDel="00000000" w:rsidP="00000000" w:rsidRDefault="00000000" w:rsidRPr="00000000" w14:paraId="0000000E">
      <w:pPr>
        <w:numPr>
          <w:ilvl w:val="0"/>
          <w:numId w:val="12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Utiliser la notion d’opposé.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Repérer sur une droite graduée les nombres décimaux relatifs.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repérer sur une droite graduée et dans le plan muni d’un repère orthogonal.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4 – Triangles : construction, hauteur et aire, médiatrice et cercle circonscrit (S9-S10-S11-S12)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24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Calculer le périmètre et l’aire des figures usuelles (rectangle, triangle, disque) et d’un assemblage de figures.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Exprimer les résultats dans l’unité adaptée.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Vérifier la cohérence des résultats du point de vue des unités pour les calculs de longueurs et d’aires.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Effectuer des conversions d’unités de longueurs et d’aires.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À partir des connaissances suivantes mettre en oeuvre et écrit un protocole de construction de triangles et d’un assemblage de figures :</w:t>
      </w:r>
    </w:p>
    <w:p w:rsidR="00000000" w:rsidDel="00000000" w:rsidP="00000000" w:rsidRDefault="00000000" w:rsidRPr="00000000" w14:paraId="00000017">
      <w:pPr>
        <w:numPr>
          <w:ilvl w:val="1"/>
          <w:numId w:val="9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 codage des figures ;</w:t>
      </w:r>
    </w:p>
    <w:p w:rsidR="00000000" w:rsidDel="00000000" w:rsidP="00000000" w:rsidRDefault="00000000" w:rsidRPr="00000000" w14:paraId="00000018">
      <w:pPr>
        <w:numPr>
          <w:ilvl w:val="1"/>
          <w:numId w:val="9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l’inégalité triangulaire ;</w:t>
      </w:r>
    </w:p>
    <w:p w:rsidR="00000000" w:rsidDel="00000000" w:rsidP="00000000" w:rsidRDefault="00000000" w:rsidRPr="00000000" w14:paraId="00000019">
      <w:pPr>
        <w:numPr>
          <w:ilvl w:val="1"/>
          <w:numId w:val="9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 définition de la médiatrice ;</w:t>
      </w:r>
    </w:p>
    <w:p w:rsidR="00000000" w:rsidDel="00000000" w:rsidP="00000000" w:rsidRDefault="00000000" w:rsidRPr="00000000" w14:paraId="0000001A">
      <w:pPr>
        <w:numPr>
          <w:ilvl w:val="1"/>
          <w:numId w:val="9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 définition des hauteurs d’un triangle,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Mobiliser les connaissances des figures, des configurations et des symétries pour déterminer des grandeurs géométriques.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Mener des raisonnements en utilisant des propriétés des figures, des configurations et des symétries.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 – Fractions : comparaison, nombres premiers et simplification (S13-S14-S15)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Utiliser dans le cas des nombres décimaux, les écritures décimales et fractionnaires et passe de l’une à l’autre, en particulier dans le cadre de la résolution de problèmes.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Décomposer une fraction sous la forme d’une somme (ou d’une différence) d’un entier et d’une fraction.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Reconnaître et produire des fractions égales.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Comparer, ranger, encadrer des fractions dont les dénominateurs sont égaux ou multiples l’un de l’autre.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Résoudre des problèmes faisant intervenir des fractions.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Calculer le quotient et le reste dans une division euclidienne.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Déterminer si un nombre entier est ou n’est pas multiple ou diviseur d’un autre nombre entier.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Déterminer les nombres premiers inférieurs ou égaux à 30.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Utiliser les critères de divisibilité (par 2, 3, 5, 9, 10).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Décomposer un nombre entier strictement positif en produit de facteurs premiers inférieurs à 30.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Utiliser la décomposition en facteurs premiers inférieurs à 30 pour produire des fractions égales (simplification ou mise au même dénominateur).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Modéliser et résoudre des problèmes faisant intervenir les notions de multiple, de diviseur, de quotient et de reste.</w:t>
      </w:r>
    </w:p>
    <w:p w:rsidR="00000000" w:rsidDel="00000000" w:rsidP="00000000" w:rsidRDefault="00000000" w:rsidRPr="00000000" w14:paraId="0000002A">
      <w:pPr>
        <w:spacing w:after="240" w:before="24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 – Solides(S16-S17-S18)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Calculer le volume d’un pavé droit, d’un prisme droit, d’un cylindre et d’un assemblage de ces solides.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Exprimer les résultats dans l’unité adaptée.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Vérifier la cohérence des résultats du point de vue des unités pour les calculs de volumes.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Effectuer des conversions d’unités de volumes.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Utiliser la correspondance entre les unités de volume et de contenance (1 L = 1 dm3, 1 000 L = 1 m3) pour effectuer des conversions.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Reconnaître des solides (pavé droit, cube, cylindre, prisme droit, pyramide, cône, boule) à partir d’un objet réel, d’une image, d’une représentation en perspective cavalière.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8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Construire et mettre en relation une représentation en perspective cavalière et un patron d’un pavé droit, d’un cylindre.</w:t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 – Addition et soustraction de nombres relatifs (S19-S20-S21)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additionne et soustrait des nombres décimaux relatifs.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Résoudre des problèmes faisant intervenir des nombres décimaux relatifs.</w:t>
      </w:r>
    </w:p>
    <w:p w:rsidR="00000000" w:rsidDel="00000000" w:rsidP="00000000" w:rsidRDefault="00000000" w:rsidRPr="00000000" w14:paraId="00000035">
      <w:pP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8 – Proportionnalité : tableaux et pourcentages (S22 -S23-S24)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Relier fractions, proportions et pourcentages.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Reconnaître une situation de proportionnalité ou de non proportionnalité́ entre deux grandeurs.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Partager une quantité en deux ou trois parts selon un ratio donné.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Résoudre des problèmes de proportionnalité dans diverses situations pouvant faire intervenir des pourcentages ou des échelles. Pour cela, mettre en oeuvre des procédures variées (additivité, homogénéité, passage à l’unité, coefficient de proportionnalité).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Calculer des durées et des horaires.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Exprimer les résultats dans l’unité adaptée.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Vérifier la cohérence des résultats du point de vue des unités pour les calculs de durées.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Effectuer des conversions d’unités de durées.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Utiliser l’échelle d’une carte. </w:t>
      </w:r>
    </w:p>
    <w:p w:rsidR="00000000" w:rsidDel="00000000" w:rsidP="00000000" w:rsidRDefault="00000000" w:rsidRPr="00000000" w14:paraId="0000003F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 – Calcul littéral (S25-S26-S27)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Utiliser les notations 2</w:t>
      </w:r>
      <w:r w:rsidDel="00000000" w:rsidR="00000000" w:rsidRPr="00000000">
        <w:rPr>
          <w:i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pour </w:t>
      </w:r>
      <w:r w:rsidDel="00000000" w:rsidR="00000000" w:rsidRPr="00000000">
        <w:rPr>
          <w:i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× 2 ou 2 × </w:t>
      </w:r>
      <w:r w:rsidDel="00000000" w:rsidR="00000000" w:rsidRPr="00000000">
        <w:rPr>
          <w:i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et </w:t>
      </w:r>
      <w:r w:rsidDel="00000000" w:rsidR="00000000" w:rsidRPr="00000000">
        <w:rPr>
          <w:i w:val="1"/>
          <w:rtl w:val="0"/>
        </w:rPr>
        <w:t xml:space="preserve">ab </w:t>
      </w:r>
      <w:r w:rsidDel="00000000" w:rsidR="00000000" w:rsidRPr="00000000">
        <w:rPr>
          <w:rtl w:val="0"/>
        </w:rPr>
        <w:t xml:space="preserve">pour </w:t>
      </w:r>
      <w:r w:rsidDel="00000000" w:rsidR="00000000" w:rsidRPr="00000000">
        <w:rPr>
          <w:i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× 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2 pour </w:t>
      </w:r>
      <w:r w:rsidDel="00000000" w:rsidR="00000000" w:rsidRPr="00000000">
        <w:rPr>
          <w:i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× </w:t>
      </w:r>
      <w:r w:rsidDel="00000000" w:rsidR="00000000" w:rsidRPr="00000000">
        <w:rPr>
          <w:i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et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3 pour </w:t>
      </w:r>
      <w:r w:rsidDel="00000000" w:rsidR="00000000" w:rsidRPr="00000000">
        <w:rPr>
          <w:i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× </w:t>
      </w:r>
      <w:r w:rsidDel="00000000" w:rsidR="00000000" w:rsidRPr="00000000">
        <w:rPr>
          <w:i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×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Utiliser la distributivité simple pour réduire une expression littérale de la forme </w:t>
      </w:r>
      <w:r w:rsidDel="00000000" w:rsidR="00000000" w:rsidRPr="00000000">
        <w:rPr>
          <w:i w:val="1"/>
          <w:rtl w:val="0"/>
        </w:rPr>
        <w:t xml:space="preserve">ax </w:t>
      </w:r>
      <w:r w:rsidDel="00000000" w:rsidR="00000000" w:rsidRPr="00000000">
        <w:rPr>
          <w:rtl w:val="0"/>
        </w:rPr>
        <w:t xml:space="preserve">+ </w:t>
      </w:r>
      <w:r w:rsidDel="00000000" w:rsidR="00000000" w:rsidRPr="00000000">
        <w:rPr>
          <w:i w:val="1"/>
          <w:rtl w:val="0"/>
        </w:rPr>
        <w:t xml:space="preserve">bx </w:t>
      </w:r>
      <w:r w:rsidDel="00000000" w:rsidR="00000000" w:rsidRPr="00000000">
        <w:rPr>
          <w:rtl w:val="0"/>
        </w:rPr>
        <w:t xml:space="preserve">où </w:t>
      </w:r>
      <w:r w:rsidDel="00000000" w:rsidR="00000000" w:rsidRPr="00000000">
        <w:rPr>
          <w:i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et </w:t>
      </w:r>
      <w:r w:rsidDel="00000000" w:rsidR="00000000" w:rsidRPr="00000000">
        <w:rPr>
          <w:i w:val="1"/>
          <w:rtl w:val="0"/>
        </w:rPr>
        <w:t xml:space="preserve">b </w:t>
      </w:r>
      <w:r w:rsidDel="00000000" w:rsidR="00000000" w:rsidRPr="00000000">
        <w:rPr>
          <w:rtl w:val="0"/>
        </w:rPr>
        <w:t xml:space="preserve">sont des nombres décimaux.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Produire une expression littérale pour élaborer une formule ou traduire un programme de calcul.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Utiliser une lettre pour traduire des propriétés générales et les démontrer.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Substituer une valeur numérique à une lettre pour :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calculer la valeur d’une expression littérale ;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tester, à la main ou de façon instrumentée, si une égalité où figurent une ou deux indéterminées est vraie quand on leur attribue des valeurs numériques ;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8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contrôler son résultat.</w:t>
      </w:r>
    </w:p>
    <w:p w:rsidR="00000000" w:rsidDel="00000000" w:rsidP="00000000" w:rsidRDefault="00000000" w:rsidRPr="00000000" w14:paraId="00000048">
      <w:pP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10 – Triangles : angles et parallélisme (S28-S29)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À partir des connaissances suivantes, mettre en oeuvre et écrit un protocole de construction de triangles et d’un assemblage de figures</w:t>
      </w:r>
    </w:p>
    <w:p w:rsidR="00000000" w:rsidDel="00000000" w:rsidP="00000000" w:rsidRDefault="00000000" w:rsidRPr="00000000" w14:paraId="0000004A">
      <w:pPr>
        <w:numPr>
          <w:ilvl w:val="1"/>
          <w:numId w:val="8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 codage des figures ;</w:t>
      </w:r>
    </w:p>
    <w:p w:rsidR="00000000" w:rsidDel="00000000" w:rsidP="00000000" w:rsidRDefault="00000000" w:rsidRPr="00000000" w14:paraId="0000004B">
      <w:pPr>
        <w:numPr>
          <w:ilvl w:val="1"/>
          <w:numId w:val="8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les caractérisations angulaires du parallélisme (angles alternes internes, angles correspondants) ;</w:t>
      </w:r>
    </w:p>
    <w:p w:rsidR="00000000" w:rsidDel="00000000" w:rsidP="00000000" w:rsidRDefault="00000000" w:rsidRPr="00000000" w14:paraId="0000004C">
      <w:pPr>
        <w:numPr>
          <w:ilvl w:val="1"/>
          <w:numId w:val="8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 somme des angles d’un triangle ;</w:t>
      </w:r>
    </w:p>
    <w:p w:rsidR="00000000" w:rsidDel="00000000" w:rsidP="00000000" w:rsidRDefault="00000000" w:rsidRPr="00000000" w14:paraId="0000004D">
      <w:pPr>
        <w:numPr>
          <w:ilvl w:val="1"/>
          <w:numId w:val="8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mettre en œuvre et écrit un protocole de construction de triangles et d’un assemblage de figures.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Mobiliser les connaissances des figures, des configurations et des symétries pour déterminer des grandeurs géométriques.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Mener des raisonnements en utilisant des propriétés des figures, des configurations et des symétries.</w:t>
      </w:r>
    </w:p>
    <w:p w:rsidR="00000000" w:rsidDel="00000000" w:rsidP="00000000" w:rsidRDefault="00000000" w:rsidRPr="00000000" w14:paraId="00000050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 – Addition et soustraction de fractions (S30)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Additionner ou soustraire des fractions dont les dénominateurs sont égaux ou multiples l’un de l’autre.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8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Résoudre des problèmes faisant intervenir des nombres décimaux relatifs et des fractions.</w:t>
      </w:r>
    </w:p>
    <w:p w:rsidR="00000000" w:rsidDel="00000000" w:rsidP="00000000" w:rsidRDefault="00000000" w:rsidRPr="00000000" w14:paraId="00000053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12 – Statistiques (S31-S32)</w:t>
      </w:r>
    </w:p>
    <w:p w:rsidR="00000000" w:rsidDel="00000000" w:rsidP="00000000" w:rsidRDefault="00000000" w:rsidRPr="00000000" w14:paraId="00000054">
      <w:pPr>
        <w:numPr>
          <w:ilvl w:val="0"/>
          <w:numId w:val="14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Recueillir et organiser des données.</w:t>
      </w:r>
    </w:p>
    <w:p w:rsidR="00000000" w:rsidDel="00000000" w:rsidP="00000000" w:rsidRDefault="00000000" w:rsidRPr="00000000" w14:paraId="00000055">
      <w:pPr>
        <w:numPr>
          <w:ilvl w:val="0"/>
          <w:numId w:val="1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Lire et interpréter des données brutes ou présentées sous forme de tableaux, de diagrammes et de graphiques.</w:t>
      </w:r>
    </w:p>
    <w:p w:rsidR="00000000" w:rsidDel="00000000" w:rsidP="00000000" w:rsidRDefault="00000000" w:rsidRPr="00000000" w14:paraId="00000056">
      <w:pPr>
        <w:numPr>
          <w:ilvl w:val="0"/>
          <w:numId w:val="1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Représenter sur papier ou à l’aide d’un tableur-grapheur, des données sous la forme d’un tableau, d’un diagramme ou d’un graphique.</w:t>
      </w:r>
    </w:p>
    <w:p w:rsidR="00000000" w:rsidDel="00000000" w:rsidP="00000000" w:rsidRDefault="00000000" w:rsidRPr="00000000" w14:paraId="00000057">
      <w:pPr>
        <w:numPr>
          <w:ilvl w:val="0"/>
          <w:numId w:val="1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Calculer des effectifs et des fréquences.</w:t>
      </w:r>
    </w:p>
    <w:p w:rsidR="00000000" w:rsidDel="00000000" w:rsidP="00000000" w:rsidRDefault="00000000" w:rsidRPr="00000000" w14:paraId="00000058">
      <w:pPr>
        <w:numPr>
          <w:ilvl w:val="0"/>
          <w:numId w:val="14"/>
        </w:numPr>
        <w:spacing w:after="8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Calculer et interpréter la moyenne d’une série de données.</w:t>
      </w:r>
    </w:p>
    <w:p w:rsidR="00000000" w:rsidDel="00000000" w:rsidP="00000000" w:rsidRDefault="00000000" w:rsidRPr="00000000" w14:paraId="00000059">
      <w:pPr>
        <w:spacing w:after="240" w:before="240" w:lin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rtl w:val="0"/>
        </w:rPr>
        <w:t xml:space="preserve">– Parallélogrammes (S3-S34)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alculer le périmètre et l’aire des figures usuelles (rectangle, parallélogramme, triangle, disque) et d’un assemblage de figures.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À partir des connaissances suivantes, mettre en oeuvre et écrit un protocole de construction de triangles, de parallélogrammes et d’un assemblage de figures:</w:t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 codage des figures ;</w:t>
      </w:r>
    </w:p>
    <w:p w:rsidR="00000000" w:rsidDel="00000000" w:rsidP="00000000" w:rsidRDefault="00000000" w:rsidRPr="00000000" w14:paraId="0000005D">
      <w:pPr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une définition et une propriété caractéristique du parallélogramme ;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Mobiliser les connaissances des figures, des configurations et des symétries pour déterminer des grandeurs géométriques.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Mener des raisonnements en utilisant des propriétés des figures, des configurations et des symétries.</w:t>
      </w:r>
    </w:p>
    <w:p w:rsidR="00000000" w:rsidDel="00000000" w:rsidP="00000000" w:rsidRDefault="00000000" w:rsidRPr="00000000" w14:paraId="00000060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14 – Fonctions (S35)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Traduire la relation de dépendance entre deux grandeurs par un tableau de valeur.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Produire une formule représentant la dépendance de deux grandeurs.</w:t>
      </w:r>
    </w:p>
    <w:p w:rsidR="00000000" w:rsidDel="00000000" w:rsidP="00000000" w:rsidRDefault="00000000" w:rsidRPr="00000000" w14:paraId="00000063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15 – Probabilités (S36)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Placer un événement sur une échelle de probabilités.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Calculer des probabilités dans des situations simples d’équiprobabilité.</w:t>
      </w:r>
    </w:p>
    <w:p w:rsidR="00000000" w:rsidDel="00000000" w:rsidP="00000000" w:rsidRDefault="00000000" w:rsidRPr="00000000" w14:paraId="00000066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Cette progression n'est qu'indicative. </w:t>
      </w:r>
    </w:p>
    <w:p w:rsidR="00000000" w:rsidDel="00000000" w:rsidP="00000000" w:rsidRDefault="00000000" w:rsidRPr="00000000" w14:paraId="00000067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Elle est un guide et un soutien pour l'enseignant qui peut l'adapter en fonction de sa classe.</w:t>
      </w:r>
    </w:p>
    <w:p w:rsidR="00000000" w:rsidDel="00000000" w:rsidP="00000000" w:rsidRDefault="00000000" w:rsidRPr="00000000" w14:paraId="00000068">
      <w:pPr>
        <w:spacing w:after="24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